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B8DD" w14:textId="77777777" w:rsidR="0047728C" w:rsidRPr="0047728C" w:rsidRDefault="0047728C" w:rsidP="0047728C">
      <w:pPr>
        <w:shd w:val="clear" w:color="auto" w:fill="C9A473"/>
        <w:spacing w:before="100" w:beforeAutospacing="1" w:after="100" w:afterAutospacing="1" w:line="240" w:lineRule="auto"/>
        <w:jc w:val="center"/>
        <w:outlineLvl w:val="1"/>
        <w:rPr>
          <w:rFonts w:ascii="Arial" w:eastAsia="Times New Roman" w:hAnsi="Arial" w:cs="Arial"/>
          <w:b/>
          <w:bCs/>
          <w:caps/>
          <w:color w:val="770202"/>
          <w:sz w:val="47"/>
          <w:szCs w:val="47"/>
          <w:lang w:eastAsia="de-DE"/>
        </w:rPr>
      </w:pPr>
      <w:r w:rsidRPr="0047728C">
        <w:rPr>
          <w:rFonts w:ascii="Arial" w:eastAsia="Times New Roman" w:hAnsi="Arial" w:cs="Arial"/>
          <w:b/>
          <w:bCs/>
          <w:caps/>
          <w:color w:val="770202"/>
          <w:sz w:val="47"/>
          <w:szCs w:val="47"/>
          <w:lang w:eastAsia="de-DE"/>
        </w:rPr>
        <w:t>HAUSORDNUNG</w:t>
      </w:r>
    </w:p>
    <w:p w14:paraId="69C0E5B4" w14:textId="77777777" w:rsidR="0047728C" w:rsidRPr="0047728C" w:rsidRDefault="0047728C" w:rsidP="0047728C">
      <w:pPr>
        <w:shd w:val="clear" w:color="auto" w:fill="C9A473"/>
        <w:spacing w:before="100" w:beforeAutospacing="1" w:after="100" w:afterAutospacing="1" w:line="240" w:lineRule="auto"/>
        <w:outlineLvl w:val="3"/>
        <w:rPr>
          <w:rFonts w:ascii="Arial" w:eastAsia="Times New Roman" w:hAnsi="Arial" w:cs="Arial"/>
          <w:color w:val="770202"/>
          <w:sz w:val="20"/>
          <w:szCs w:val="20"/>
          <w:lang w:eastAsia="de-DE"/>
        </w:rPr>
      </w:pPr>
      <w:r w:rsidRPr="0047728C">
        <w:rPr>
          <w:rFonts w:ascii="Arial" w:eastAsia="Times New Roman" w:hAnsi="Arial" w:cs="Arial"/>
          <w:color w:val="770202"/>
          <w:sz w:val="20"/>
          <w:szCs w:val="20"/>
          <w:lang w:eastAsia="de-DE"/>
        </w:rPr>
        <w:t>Copyright</w:t>
      </w:r>
    </w:p>
    <w:p w14:paraId="2EF6B683" w14:textId="5C3214B0" w:rsidR="0047728C" w:rsidRPr="0047728C" w:rsidRDefault="0047728C" w:rsidP="0047728C">
      <w:p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Alle auf dieser Homepage verwendeten Bilder, Texte und Darstellungen unterliegen dem Copyright und sind urheberrechtlich geschützt.</w:t>
      </w:r>
      <w:r>
        <w:rPr>
          <w:rFonts w:ascii="Varela Round" w:eastAsia="Times New Roman" w:hAnsi="Varela Round" w:cs="Varela Round"/>
          <w:color w:val="5B371F"/>
          <w:sz w:val="16"/>
          <w:szCs w:val="16"/>
          <w:lang w:eastAsia="de-DE"/>
        </w:rPr>
        <w:t xml:space="preserve"> </w:t>
      </w:r>
      <w:r w:rsidRPr="0047728C">
        <w:rPr>
          <w:rFonts w:ascii="Varela Round" w:eastAsia="Times New Roman" w:hAnsi="Varela Round" w:cs="Varela Round" w:hint="cs"/>
          <w:color w:val="5B371F"/>
          <w:sz w:val="16"/>
          <w:szCs w:val="16"/>
          <w:lang w:eastAsia="de-DE"/>
        </w:rPr>
        <w:t>Wenn Sie hiervon Teile verwenden wollen, wenden Sie sich bitte per E-Mail an uns. Wir werden dann, je nachdem und falls es möglich ist, den Kontakt zum Urheber vermitteln.</w:t>
      </w:r>
    </w:p>
    <w:p w14:paraId="49C4869F"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Im Vordergrund steht beim Bowling nicht nur Spaß am Spiel, sondern auch respektvoller, höflicher und toleranter Umgang miteinander. Dies dürfen Sie von uns erwarten, aber auch wir von unseren Gästen.</w:t>
      </w:r>
    </w:p>
    <w:p w14:paraId="136D6319"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Da die Bahnen geölt sind, ist das Betreten der Bahnen, nach der Foullinie, nur unserem Personal gestattet. UNFALLGEFAHR! Eine Haftung für Unfälle und Verletzungen beim Bowling und in den Räumlichkeiten seitens des Inhabers der Bowlinganlage wird ausgeschlossen.</w:t>
      </w:r>
    </w:p>
    <w:p w14:paraId="667F67AF"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Es darf nur in Bowlingschuhen gespielt werden. Aufgrund des Materials darf das Haus mit diesen nicht verlassen werden.</w:t>
      </w:r>
    </w:p>
    <w:p w14:paraId="40B987DB"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Wir behalten uns vor, Bahnen abweichend vom Reservierungsplan zu belegen. Der Anspruch auf eine bestimmte Bahn/en ist ausgeschlossen.</w:t>
      </w:r>
    </w:p>
    <w:p w14:paraId="289DA9E3"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Bitte nicht in den Ballrücklauf greifen oder gar den Kopf hineinstecken, da Verletzungsgefahr besteht. Des Weiteren sollten keine Gegenstände darauf abgelegt werden. Auf dem Kugelrücklauf dürfen nicht mehr als 10 Bowlingbälle pro Doppelbahn liegen, bitte nicht mit mehr Bällen spielen, UNFALLGEFAHR!</w:t>
      </w:r>
    </w:p>
    <w:p w14:paraId="438B2E53"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 xml:space="preserve">Die Kinderbanden (Bumper) stehen ausschließlich Kindern bis 12 Jahre oder Spielern mit leichten Bällen (bis zu 9 </w:t>
      </w:r>
      <w:proofErr w:type="spellStart"/>
      <w:r w:rsidRPr="0047728C">
        <w:rPr>
          <w:rFonts w:ascii="Varela Round" w:eastAsia="Times New Roman" w:hAnsi="Varela Round" w:cs="Varela Round" w:hint="cs"/>
          <w:color w:val="5B371F"/>
          <w:sz w:val="16"/>
          <w:szCs w:val="16"/>
          <w:lang w:eastAsia="de-DE"/>
        </w:rPr>
        <w:t>lbs</w:t>
      </w:r>
      <w:proofErr w:type="spellEnd"/>
      <w:r w:rsidRPr="0047728C">
        <w:rPr>
          <w:rFonts w:ascii="Varela Round" w:eastAsia="Times New Roman" w:hAnsi="Varela Round" w:cs="Varela Round" w:hint="cs"/>
          <w:color w:val="5B371F"/>
          <w:sz w:val="16"/>
          <w:szCs w:val="16"/>
          <w:lang w:eastAsia="de-DE"/>
        </w:rPr>
        <w:t>) zur Verfügung.</w:t>
      </w:r>
    </w:p>
    <w:p w14:paraId="4D7CFD38"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Die 8 Pfund Kugeln dürfen ausschließlich von Kindern bis 10 Jahre gespielt werden.</w:t>
      </w:r>
    </w:p>
    <w:p w14:paraId="4F0B29BB"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Die Abrechnung zum Ligatarif oder sonstiger Vergünstigungen kann nur nach Vorlage eines entsprechenden Ausweises oder Berechtigung erfolgen.</w:t>
      </w:r>
    </w:p>
    <w:p w14:paraId="7A4CC359"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Sollte einmal etwas zu Bruch gehen oder verschüttet werden (Speisen oder Getränke), bitten wir Sie, dies unverzüglich einem unserer Mitarbeiter mitzuteilen, damit wir uns darum kümmern können.</w:t>
      </w:r>
    </w:p>
    <w:p w14:paraId="6DEF140E"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Eine reservierte Bahn die nicht pünktlich belegt ist, wird vom Counter in der Regel nach spätestens 5 Minuten freigegeben. Sollte sich eine Verspätung abzeichnen, reicht ein kurzer Anruf, damit die Reservierung weiterhin bestehen bleibt. Eine Verlängerung oder Verschiebung bei anschließender Belegung ist nicht möglich.</w:t>
      </w:r>
    </w:p>
    <w:p w14:paraId="07E15E7E"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Reservierte Bahnen, die nicht in Anspruch oder verspätet genommen werden, werden zu 100 % berechnet. Wir bitten Stornierungen rechtzeitig telefonisch mitzuteilen.</w:t>
      </w:r>
    </w:p>
    <w:p w14:paraId="6BF2AF8F"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Bei Stornierungen von größeren Gruppen- bzw. Firmenfeiern behält sich die Geschäftsleitung vor, Stornogebühren in Rechnung zu stellen.</w:t>
      </w:r>
    </w:p>
    <w:p w14:paraId="5845EC18"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 xml:space="preserve">Die Mietgebühr für Bahnen und Schuhe ist komplett am Counter zu entrichten. Speisen und Getränke sind separat beim Servicepersonal zu bezahlen. Aus Sicherheitsgründen können wir keine 200 &amp; 500 Euro-Scheine annehmen. Ausnahmen können gewährt werden, wenn eine Ausweis- und Geldscheinkopie sowie eine Übernahme der Haftung für die Echtheit des Scheines </w:t>
      </w:r>
      <w:proofErr w:type="gramStart"/>
      <w:r w:rsidRPr="0047728C">
        <w:rPr>
          <w:rFonts w:ascii="Varela Round" w:eastAsia="Times New Roman" w:hAnsi="Varela Round" w:cs="Varela Round" w:hint="cs"/>
          <w:color w:val="5B371F"/>
          <w:sz w:val="16"/>
          <w:szCs w:val="16"/>
          <w:lang w:eastAsia="de-DE"/>
        </w:rPr>
        <w:t>vorliegt</w:t>
      </w:r>
      <w:proofErr w:type="gramEnd"/>
      <w:r w:rsidRPr="0047728C">
        <w:rPr>
          <w:rFonts w:ascii="Varela Round" w:eastAsia="Times New Roman" w:hAnsi="Varela Round" w:cs="Varela Round" w:hint="cs"/>
          <w:color w:val="5B371F"/>
          <w:sz w:val="16"/>
          <w:szCs w:val="16"/>
          <w:lang w:eastAsia="de-DE"/>
        </w:rPr>
        <w:t>.</w:t>
      </w:r>
    </w:p>
    <w:p w14:paraId="0D7F4B55" w14:textId="08508426"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Angefangene Spiele, die nicht zu Ende gespielt werden können, werden anteilig berechnet. Grundsätzlich erfolgt die Abrechnung auf Zeit.</w:t>
      </w:r>
    </w:p>
    <w:p w14:paraId="6779C3F5"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Ein verspäteter Spielbeginn oder eine technische Störung im Bahnbetrieb berechtigt nicht zur Reduzierung des Spielpreises. Die Geschäftsleitung (Counter) kann jedoch in der Regel einen Nachlass gewähren.</w:t>
      </w:r>
    </w:p>
    <w:p w14:paraId="455F842A"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Auf Garderobe und mitgebrachte Gegenstände ist selbst zu achten. Wir übernehmen keine Haftung.</w:t>
      </w:r>
    </w:p>
    <w:p w14:paraId="7C5E2A41"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Wir bitten, unsere Sanitäranlagen sauber zu hinterlassen. Sollten die Anlagen nicht in Ordnung sein, bitten wir dies unserem Counterpersonal mitzuteilen, damit sich dieser darum kümmern kann.</w:t>
      </w:r>
    </w:p>
    <w:p w14:paraId="4387E823"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Den Aufforderungen des Hauspersonals ist Folge zu leisten. Eltern haften für ihre Kinder. Die Aufsichtspflicht besteht für die anwesenden Eltern oder Begleitpersonen.</w:t>
      </w:r>
    </w:p>
    <w:p w14:paraId="4FE16F8A"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Sobald alle Bahnen ausgeschaltet sind, dürfen keine Bälle mehr geworfen werden, da dies zu Beschädigungen der Maschine führen kann. Bei Beschädigungen besteht Haftungspflicht.</w:t>
      </w:r>
    </w:p>
    <w:p w14:paraId="1680DF65"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Bowlingbälle, die ein Spieler mitbringt, benutzt er auf eigenes Risiko. Eine Haftung der Bowlinganlage für Schäden ist ausgeschlossen.</w:t>
      </w:r>
    </w:p>
    <w:p w14:paraId="6906EC7F"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Das Mitbringen von Speisen und Getränke jeglicher Art ist nicht gestattet. Für Kindergeburtstage können, nach vorheriger Anmeldung, Torten &amp; Kuchen (keine Chips, Popcorn o. ä.) mitgebracht werden.</w:t>
      </w:r>
    </w:p>
    <w:p w14:paraId="49ABB6ED"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Sichtlich angetrunken Gästen kann zur eigenen Sicherheit das Bowlingspielen verwehrt werden.</w:t>
      </w:r>
    </w:p>
    <w:p w14:paraId="5B95866D"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 xml:space="preserve">Gutscheine können nicht in Bargeld eingelöst werden. Es gilt immer nur 1 Gutschein </w:t>
      </w:r>
      <w:proofErr w:type="spellStart"/>
      <w:r w:rsidRPr="0047728C">
        <w:rPr>
          <w:rFonts w:ascii="Varela Round" w:eastAsia="Times New Roman" w:hAnsi="Varela Round" w:cs="Varela Round" w:hint="cs"/>
          <w:color w:val="5B371F"/>
          <w:sz w:val="16"/>
          <w:szCs w:val="16"/>
          <w:lang w:eastAsia="de-DE"/>
        </w:rPr>
        <w:t>pro</w:t>
      </w:r>
      <w:proofErr w:type="spellEnd"/>
      <w:r w:rsidRPr="0047728C">
        <w:rPr>
          <w:rFonts w:ascii="Varela Round" w:eastAsia="Times New Roman" w:hAnsi="Varela Round" w:cs="Varela Round" w:hint="cs"/>
          <w:color w:val="5B371F"/>
          <w:sz w:val="16"/>
          <w:szCs w:val="16"/>
          <w:lang w:eastAsia="de-DE"/>
        </w:rPr>
        <w:t xml:space="preserve"> Bahn und Person. Gutscheine sind nicht kombinierbar. Ausgenommen hiervon sind Geschenkgutscheine.</w:t>
      </w:r>
    </w:p>
    <w:p w14:paraId="1252E5C2" w14:textId="63CC95D5"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Fotos, die während unserer Veranstaltungen entstehen, werden ggf. auf unserer Homepage www.</w:t>
      </w:r>
      <w:r>
        <w:rPr>
          <w:rFonts w:ascii="Varela Round" w:eastAsia="Times New Roman" w:hAnsi="Varela Round" w:cs="Varela Round"/>
          <w:color w:val="5B371F"/>
          <w:sz w:val="16"/>
          <w:szCs w:val="16"/>
          <w:lang w:eastAsia="de-DE"/>
        </w:rPr>
        <w:t>nordisch-norddeich</w:t>
      </w:r>
      <w:r w:rsidRPr="0047728C">
        <w:rPr>
          <w:rFonts w:ascii="Varela Round" w:eastAsia="Times New Roman" w:hAnsi="Varela Round" w:cs="Varela Round" w:hint="cs"/>
          <w:color w:val="5B371F"/>
          <w:sz w:val="16"/>
          <w:szCs w:val="16"/>
          <w:lang w:eastAsia="de-DE"/>
        </w:rPr>
        <w:t xml:space="preserve">.de oder auf unserer </w:t>
      </w:r>
      <w:proofErr w:type="spellStart"/>
      <w:r w:rsidRPr="0047728C">
        <w:rPr>
          <w:rFonts w:ascii="Varela Round" w:eastAsia="Times New Roman" w:hAnsi="Varela Round" w:cs="Varela Round" w:hint="cs"/>
          <w:color w:val="5B371F"/>
          <w:sz w:val="16"/>
          <w:szCs w:val="16"/>
          <w:lang w:eastAsia="de-DE"/>
        </w:rPr>
        <w:t>Facebookpage</w:t>
      </w:r>
      <w:proofErr w:type="spellEnd"/>
      <w:r w:rsidRPr="0047728C">
        <w:rPr>
          <w:rFonts w:ascii="Varela Round" w:eastAsia="Times New Roman" w:hAnsi="Varela Round" w:cs="Varela Round" w:hint="cs"/>
          <w:color w:val="5B371F"/>
          <w:sz w:val="16"/>
          <w:szCs w:val="16"/>
          <w:lang w:eastAsia="de-DE"/>
        </w:rPr>
        <w:t xml:space="preserve"> veröffentlicht und nur auf ausdrücklichen Wunsch gelöscht.</w:t>
      </w:r>
    </w:p>
    <w:p w14:paraId="1144F502" w14:textId="77777777"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Gerichtsstand ist der Ort der Bowlinganlage.</w:t>
      </w:r>
    </w:p>
    <w:p w14:paraId="1D7803AD" w14:textId="4AC5BB10" w:rsidR="0047728C" w:rsidRPr="0047728C" w:rsidRDefault="0047728C" w:rsidP="0047728C">
      <w:pPr>
        <w:numPr>
          <w:ilvl w:val="0"/>
          <w:numId w:val="1"/>
        </w:num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Jeder Gast erklärt sich, mit Betreten des Hauses</w:t>
      </w:r>
      <w:r>
        <w:rPr>
          <w:rFonts w:ascii="Varela Round" w:eastAsia="Times New Roman" w:hAnsi="Varela Round" w:cs="Varela Round"/>
          <w:color w:val="5B371F"/>
          <w:sz w:val="16"/>
          <w:szCs w:val="16"/>
          <w:lang w:eastAsia="de-DE"/>
        </w:rPr>
        <w:t xml:space="preserve"> </w:t>
      </w:r>
      <w:r w:rsidRPr="0047728C">
        <w:rPr>
          <w:rFonts w:ascii="Varela Round" w:eastAsia="Times New Roman" w:hAnsi="Varela Round" w:cs="Varela Round" w:hint="cs"/>
          <w:color w:val="5B371F"/>
          <w:sz w:val="16"/>
          <w:szCs w:val="16"/>
          <w:lang w:eastAsia="de-DE"/>
        </w:rPr>
        <w:t xml:space="preserve">oder mit der Bezahlung des Spielpreises, der Getränke oder Speisen, mit den </w:t>
      </w:r>
      <w:proofErr w:type="spellStart"/>
      <w:r w:rsidRPr="0047728C">
        <w:rPr>
          <w:rFonts w:ascii="Varela Round" w:eastAsia="Times New Roman" w:hAnsi="Varela Round" w:cs="Varela Round" w:hint="cs"/>
          <w:color w:val="5B371F"/>
          <w:sz w:val="16"/>
          <w:szCs w:val="16"/>
          <w:lang w:eastAsia="de-DE"/>
        </w:rPr>
        <w:t>AGB’s</w:t>
      </w:r>
      <w:proofErr w:type="spellEnd"/>
      <w:r w:rsidRPr="0047728C">
        <w:rPr>
          <w:rFonts w:ascii="Varela Round" w:eastAsia="Times New Roman" w:hAnsi="Varela Round" w:cs="Varela Round" w:hint="cs"/>
          <w:color w:val="5B371F"/>
          <w:sz w:val="16"/>
          <w:szCs w:val="16"/>
          <w:lang w:eastAsia="de-DE"/>
        </w:rPr>
        <w:t xml:space="preserve"> einverstanden. Bei Zuwiderhandlungen gegen die </w:t>
      </w:r>
      <w:proofErr w:type="spellStart"/>
      <w:r w:rsidRPr="0047728C">
        <w:rPr>
          <w:rFonts w:ascii="Varela Round" w:eastAsia="Times New Roman" w:hAnsi="Varela Round" w:cs="Varela Round" w:hint="cs"/>
          <w:color w:val="5B371F"/>
          <w:sz w:val="16"/>
          <w:szCs w:val="16"/>
          <w:lang w:eastAsia="de-DE"/>
        </w:rPr>
        <w:t>AGB’s</w:t>
      </w:r>
      <w:proofErr w:type="spellEnd"/>
      <w:r w:rsidRPr="0047728C">
        <w:rPr>
          <w:rFonts w:ascii="Varela Round" w:eastAsia="Times New Roman" w:hAnsi="Varela Round" w:cs="Varela Round" w:hint="cs"/>
          <w:color w:val="5B371F"/>
          <w:sz w:val="16"/>
          <w:szCs w:val="16"/>
          <w:lang w:eastAsia="de-DE"/>
        </w:rPr>
        <w:t xml:space="preserve"> haftet der Verursacher.</w:t>
      </w:r>
    </w:p>
    <w:p w14:paraId="2031D54C" w14:textId="77777777" w:rsidR="0047728C" w:rsidRPr="0047728C" w:rsidRDefault="0047728C" w:rsidP="0047728C">
      <w:pPr>
        <w:shd w:val="clear" w:color="auto" w:fill="C9A473"/>
        <w:spacing w:before="100" w:beforeAutospacing="1" w:after="100" w:afterAutospacing="1" w:line="240" w:lineRule="auto"/>
        <w:rPr>
          <w:rFonts w:ascii="Varela Round" w:eastAsia="Times New Roman" w:hAnsi="Varela Round" w:cs="Varela Round" w:hint="cs"/>
          <w:color w:val="5B371F"/>
          <w:sz w:val="16"/>
          <w:szCs w:val="16"/>
          <w:lang w:eastAsia="de-DE"/>
        </w:rPr>
      </w:pPr>
      <w:r w:rsidRPr="0047728C">
        <w:rPr>
          <w:rFonts w:ascii="Varela Round" w:eastAsia="Times New Roman" w:hAnsi="Varela Round" w:cs="Varela Round" w:hint="cs"/>
          <w:color w:val="5B371F"/>
          <w:sz w:val="16"/>
          <w:szCs w:val="16"/>
          <w:lang w:eastAsia="de-DE"/>
        </w:rPr>
        <w:t>"Viel Spaß und gut Holz" beim Bowling!</w:t>
      </w:r>
    </w:p>
    <w:p w14:paraId="682CBF4C" w14:textId="77777777" w:rsidR="002E1A5A" w:rsidRDefault="002E1A5A"/>
    <w:sectPr w:rsidR="002E1A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E4852"/>
    <w:multiLevelType w:val="multilevel"/>
    <w:tmpl w:val="7B08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249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C"/>
    <w:rsid w:val="002E1A5A"/>
    <w:rsid w:val="00477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4876"/>
  <w15:chartTrackingRefBased/>
  <w15:docId w15:val="{67D68979-2C0B-4EAA-8F3B-FC53730F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4270</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Sado</dc:creator>
  <cp:keywords/>
  <dc:description/>
  <cp:lastModifiedBy>Edda Sado</cp:lastModifiedBy>
  <cp:revision>1</cp:revision>
  <dcterms:created xsi:type="dcterms:W3CDTF">2022-12-28T19:13:00Z</dcterms:created>
  <dcterms:modified xsi:type="dcterms:W3CDTF">2022-12-28T19:19:00Z</dcterms:modified>
</cp:coreProperties>
</file>